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7F" w:rsidRPr="0091654C" w:rsidRDefault="002B575E" w:rsidP="00D93049">
      <w:pPr>
        <w:jc w:val="center"/>
        <w:rPr>
          <w:sz w:val="22"/>
        </w:rPr>
      </w:pPr>
      <w:bookmarkStart w:id="0" w:name="_GoBack"/>
      <w:bookmarkEnd w:id="0"/>
      <w:r>
        <w:rPr>
          <w:rFonts w:hint="eastAsia"/>
          <w:sz w:val="22"/>
        </w:rPr>
        <w:t>富山県配置家庭薬品目収載台帳収載事務取扱要領</w:t>
      </w:r>
    </w:p>
    <w:p w:rsidR="00D93049" w:rsidRPr="0091654C" w:rsidRDefault="00D93049">
      <w:pPr>
        <w:rPr>
          <w:sz w:val="22"/>
        </w:rPr>
      </w:pPr>
    </w:p>
    <w:p w:rsidR="000F735F" w:rsidRDefault="002B575E">
      <w:pPr>
        <w:rPr>
          <w:sz w:val="22"/>
        </w:rPr>
      </w:pPr>
      <w:r>
        <w:rPr>
          <w:rFonts w:hint="eastAsia"/>
          <w:sz w:val="22"/>
        </w:rPr>
        <w:t>（目的）</w:t>
      </w:r>
    </w:p>
    <w:p w:rsidR="002B575E" w:rsidRDefault="002B575E" w:rsidP="002B575E">
      <w:pPr>
        <w:ind w:left="220" w:hangingChars="100" w:hanging="220"/>
        <w:rPr>
          <w:sz w:val="22"/>
        </w:rPr>
      </w:pPr>
      <w:r>
        <w:rPr>
          <w:rFonts w:hint="eastAsia"/>
          <w:sz w:val="22"/>
        </w:rPr>
        <w:t>第１条　この要領は、薬事法（昭和３５年法律第１４５号）第３０条第１項に規定する配置販売業の許可の際、都道府県知事が行う品目の指定に係る審査業務の簡素化及び効率化並びに配置販売業者の申請の簡素化を図るために作成する富山県配置家庭薬品目収載台帳（以下「収載台帳」という。）に、医薬品を収載するにあたっての必要な事項を定め、収載事務処理の統一化を図ることを目的とする。</w:t>
      </w:r>
    </w:p>
    <w:p w:rsidR="002B575E" w:rsidRDefault="002B575E" w:rsidP="002B575E">
      <w:pPr>
        <w:ind w:left="220" w:hangingChars="100" w:hanging="220"/>
        <w:rPr>
          <w:sz w:val="22"/>
        </w:rPr>
      </w:pPr>
    </w:p>
    <w:p w:rsidR="002B575E" w:rsidRDefault="002B575E" w:rsidP="002B575E">
      <w:pPr>
        <w:ind w:left="220" w:hangingChars="100" w:hanging="220"/>
        <w:rPr>
          <w:sz w:val="22"/>
        </w:rPr>
      </w:pPr>
      <w:r>
        <w:rPr>
          <w:rFonts w:hint="eastAsia"/>
          <w:sz w:val="22"/>
        </w:rPr>
        <w:t>（収載台帳収載願）</w:t>
      </w:r>
    </w:p>
    <w:p w:rsidR="00416D0B" w:rsidRDefault="002B575E" w:rsidP="00416D0B">
      <w:pPr>
        <w:ind w:left="220" w:hangingChars="100" w:hanging="220"/>
        <w:rPr>
          <w:sz w:val="22"/>
        </w:rPr>
      </w:pPr>
      <w:r>
        <w:rPr>
          <w:rFonts w:hint="eastAsia"/>
          <w:sz w:val="22"/>
        </w:rPr>
        <w:t xml:space="preserve">第２条　</w:t>
      </w:r>
      <w:r w:rsidR="00416D0B">
        <w:rPr>
          <w:rFonts w:hint="eastAsia"/>
          <w:sz w:val="22"/>
        </w:rPr>
        <w:t>新たに収載台帳に収載を希望する医薬品製造販売業者</w:t>
      </w:r>
      <w:r w:rsidR="00F351E1">
        <w:rPr>
          <w:rFonts w:hint="eastAsia"/>
          <w:sz w:val="22"/>
        </w:rPr>
        <w:t>は、富山県配置家庭薬品目収載台帳願（以下「収載願」という。）（様式１）に、品目表（様式２）、医薬品製造販売承認書（以下「承認書」という。）の写しを添付し、くすり政策課長へ届出しなければならない。</w:t>
      </w:r>
    </w:p>
    <w:p w:rsidR="00416D0B" w:rsidRPr="00416D0B" w:rsidRDefault="00416D0B" w:rsidP="00416D0B">
      <w:pPr>
        <w:ind w:leftChars="100" w:left="210" w:firstLineChars="100" w:firstLine="220"/>
        <w:rPr>
          <w:sz w:val="22"/>
        </w:rPr>
      </w:pPr>
      <w:r w:rsidRPr="00416D0B">
        <w:rPr>
          <w:rFonts w:asciiTheme="minorEastAsia" w:hAnsiTheme="minorEastAsia" w:hint="eastAsia"/>
          <w:sz w:val="22"/>
        </w:rPr>
        <w:t>なお、医薬品製造販売承認が、富山県知事によるものである場合は、承認書写しの提出を省略することができる。</w:t>
      </w:r>
    </w:p>
    <w:p w:rsidR="00F351E1" w:rsidRDefault="00F351E1" w:rsidP="002B575E">
      <w:pPr>
        <w:ind w:left="220" w:hangingChars="100" w:hanging="220"/>
        <w:rPr>
          <w:sz w:val="22"/>
        </w:rPr>
      </w:pPr>
      <w:r>
        <w:rPr>
          <w:rFonts w:hint="eastAsia"/>
          <w:sz w:val="22"/>
        </w:rPr>
        <w:t>２　提出</w:t>
      </w:r>
      <w:r w:rsidR="00AE7FB1">
        <w:rPr>
          <w:rFonts w:hint="eastAsia"/>
          <w:sz w:val="22"/>
        </w:rPr>
        <w:t>部数は、収載願、承認書の写しについては各１部、品目表については</w:t>
      </w:r>
      <w:r>
        <w:rPr>
          <w:rFonts w:hint="eastAsia"/>
          <w:sz w:val="22"/>
        </w:rPr>
        <w:t>２部とする。</w:t>
      </w:r>
    </w:p>
    <w:p w:rsidR="00F351E1" w:rsidRDefault="00F351E1" w:rsidP="002B575E">
      <w:pPr>
        <w:ind w:left="220" w:hangingChars="100" w:hanging="220"/>
        <w:rPr>
          <w:sz w:val="22"/>
        </w:rPr>
      </w:pPr>
    </w:p>
    <w:p w:rsidR="00F351E1" w:rsidRDefault="00F351E1" w:rsidP="002B575E">
      <w:pPr>
        <w:ind w:left="220" w:hangingChars="100" w:hanging="220"/>
        <w:rPr>
          <w:sz w:val="22"/>
        </w:rPr>
      </w:pPr>
      <w:r>
        <w:rPr>
          <w:rFonts w:hint="eastAsia"/>
          <w:sz w:val="22"/>
        </w:rPr>
        <w:t>（受付及び審査）</w:t>
      </w:r>
    </w:p>
    <w:p w:rsidR="002B575E" w:rsidRDefault="00416D0B" w:rsidP="002B575E">
      <w:pPr>
        <w:ind w:left="220" w:hangingChars="100" w:hanging="220"/>
        <w:rPr>
          <w:sz w:val="22"/>
        </w:rPr>
      </w:pPr>
      <w:r>
        <w:rPr>
          <w:rFonts w:hint="eastAsia"/>
          <w:sz w:val="22"/>
        </w:rPr>
        <w:t>第３条　くすり政策課長は、収載台帳の収載願があったときは収載願等を確認のうえ受付し、審査を行う。</w:t>
      </w:r>
    </w:p>
    <w:p w:rsidR="002B575E" w:rsidRDefault="00416D0B" w:rsidP="002B575E">
      <w:pPr>
        <w:ind w:left="220" w:hangingChars="100" w:hanging="220"/>
        <w:rPr>
          <w:sz w:val="22"/>
        </w:rPr>
      </w:pPr>
      <w:r>
        <w:rPr>
          <w:rFonts w:hint="eastAsia"/>
          <w:sz w:val="22"/>
        </w:rPr>
        <w:t>２　審査は、配置販売品目指定基準（昭和３６年厚生省告示第１６号）（以下「指定基準」という。）に基づき行う。</w:t>
      </w:r>
    </w:p>
    <w:p w:rsidR="00416D0B" w:rsidRDefault="00416D0B" w:rsidP="00416D0B">
      <w:pPr>
        <w:rPr>
          <w:sz w:val="22"/>
        </w:rPr>
      </w:pPr>
    </w:p>
    <w:p w:rsidR="00416D0B" w:rsidRDefault="00416D0B" w:rsidP="002B575E">
      <w:pPr>
        <w:ind w:left="220" w:hangingChars="100" w:hanging="220"/>
        <w:rPr>
          <w:sz w:val="22"/>
        </w:rPr>
      </w:pPr>
      <w:r>
        <w:rPr>
          <w:rFonts w:hint="eastAsia"/>
          <w:sz w:val="22"/>
        </w:rPr>
        <w:t>（収載台帳への収載）</w:t>
      </w:r>
    </w:p>
    <w:p w:rsidR="00416D0B" w:rsidRDefault="00416D0B" w:rsidP="002B575E">
      <w:pPr>
        <w:ind w:left="220" w:hangingChars="100" w:hanging="220"/>
        <w:rPr>
          <w:sz w:val="22"/>
        </w:rPr>
      </w:pPr>
      <w:r>
        <w:rPr>
          <w:rFonts w:hint="eastAsia"/>
          <w:sz w:val="22"/>
        </w:rPr>
        <w:t>第４条　くすり政策課長は、申請品目が指定基準に適合する場合は、収載台帳に収載する。</w:t>
      </w:r>
    </w:p>
    <w:p w:rsidR="00416D0B" w:rsidRDefault="00416D0B" w:rsidP="002B575E">
      <w:pPr>
        <w:ind w:left="220" w:hangingChars="100" w:hanging="220"/>
        <w:rPr>
          <w:sz w:val="22"/>
        </w:rPr>
      </w:pPr>
    </w:p>
    <w:p w:rsidR="00416D0B" w:rsidRDefault="00416D0B" w:rsidP="002B575E">
      <w:pPr>
        <w:ind w:left="220" w:hangingChars="100" w:hanging="220"/>
        <w:rPr>
          <w:sz w:val="22"/>
        </w:rPr>
      </w:pPr>
      <w:r>
        <w:rPr>
          <w:rFonts w:hint="eastAsia"/>
          <w:sz w:val="22"/>
        </w:rPr>
        <w:t>（各都道府県等への通知）</w:t>
      </w:r>
    </w:p>
    <w:p w:rsidR="00416D0B" w:rsidRPr="00416D0B" w:rsidRDefault="00416D0B" w:rsidP="002B575E">
      <w:pPr>
        <w:ind w:left="220" w:hangingChars="100" w:hanging="220"/>
        <w:rPr>
          <w:rFonts w:asciiTheme="minorEastAsia" w:hAnsiTheme="minorEastAsia"/>
          <w:sz w:val="22"/>
        </w:rPr>
      </w:pPr>
      <w:r w:rsidRPr="00416D0B">
        <w:rPr>
          <w:rFonts w:hint="eastAsia"/>
          <w:sz w:val="22"/>
        </w:rPr>
        <w:t xml:space="preserve">第５条　</w:t>
      </w:r>
      <w:r w:rsidRPr="00416D0B">
        <w:rPr>
          <w:rFonts w:asciiTheme="minorEastAsia" w:hAnsiTheme="minorEastAsia" w:hint="eastAsia"/>
          <w:sz w:val="22"/>
        </w:rPr>
        <w:t>くすり政策課長は、収載台帳に品目を収載した場合には、当該収載に係る品目表１部に「照合済」の印を押印した上で、収載願を提出した医薬品製造販売業者へ通知する。</w:t>
      </w:r>
    </w:p>
    <w:p w:rsidR="00416D0B" w:rsidRDefault="00416D0B" w:rsidP="00416D0B">
      <w:pPr>
        <w:ind w:left="220" w:hangingChars="100" w:hanging="220"/>
        <w:rPr>
          <w:sz w:val="22"/>
        </w:rPr>
      </w:pPr>
      <w:r w:rsidRPr="00416D0B">
        <w:rPr>
          <w:rFonts w:asciiTheme="minorEastAsia" w:hAnsiTheme="minorEastAsia" w:hint="eastAsia"/>
          <w:sz w:val="22"/>
        </w:rPr>
        <w:t xml:space="preserve">２　</w:t>
      </w:r>
      <w:r w:rsidRPr="00416D0B">
        <w:rPr>
          <w:rFonts w:hint="eastAsia"/>
          <w:sz w:val="22"/>
        </w:rPr>
        <w:t>くすり政策課長は、収載台帳に品目を収載した場合には、当該収載に係る品目表及び目次を各都道府県薬務主管課長及び関係団体に通知する。</w:t>
      </w:r>
    </w:p>
    <w:p w:rsidR="00416D0B" w:rsidRDefault="00416D0B" w:rsidP="00416D0B">
      <w:pPr>
        <w:ind w:left="220" w:hangingChars="100" w:hanging="220"/>
        <w:rPr>
          <w:sz w:val="22"/>
        </w:rPr>
      </w:pPr>
    </w:p>
    <w:p w:rsidR="00416D0B" w:rsidRPr="00416D0B" w:rsidRDefault="00416D0B" w:rsidP="00416D0B">
      <w:pPr>
        <w:ind w:left="220" w:hangingChars="100" w:hanging="220"/>
        <w:rPr>
          <w:sz w:val="22"/>
        </w:rPr>
      </w:pPr>
      <w:r w:rsidRPr="00416D0B">
        <w:rPr>
          <w:rFonts w:asciiTheme="minorEastAsia" w:hAnsiTheme="minorEastAsia" w:hint="eastAsia"/>
          <w:sz w:val="22"/>
        </w:rPr>
        <w:lastRenderedPageBreak/>
        <w:t>（標準事務処理期間）</w:t>
      </w:r>
    </w:p>
    <w:p w:rsidR="006E524E" w:rsidRDefault="00416D0B" w:rsidP="00416D0B">
      <w:pPr>
        <w:rPr>
          <w:rFonts w:asciiTheme="minorEastAsia" w:hAnsiTheme="minorEastAsia"/>
          <w:sz w:val="22"/>
        </w:rPr>
      </w:pPr>
      <w:r w:rsidRPr="00416D0B">
        <w:rPr>
          <w:rFonts w:asciiTheme="minorEastAsia" w:hAnsiTheme="minorEastAsia" w:hint="eastAsia"/>
          <w:sz w:val="22"/>
        </w:rPr>
        <w:t xml:space="preserve">第６条　収載願に対する処分の標準処理期間は次のとおりとする。　</w:t>
      </w:r>
    </w:p>
    <w:p w:rsidR="00416D0B" w:rsidRDefault="00416D0B" w:rsidP="006E524E">
      <w:pPr>
        <w:ind w:firstLineChars="400" w:firstLine="880"/>
        <w:rPr>
          <w:rFonts w:asciiTheme="minorEastAsia" w:hAnsiTheme="minorEastAsia"/>
          <w:sz w:val="22"/>
        </w:rPr>
      </w:pPr>
      <w:r w:rsidRPr="00416D0B">
        <w:rPr>
          <w:rFonts w:asciiTheme="minorEastAsia" w:hAnsiTheme="minorEastAsia" w:hint="eastAsia"/>
          <w:sz w:val="22"/>
        </w:rPr>
        <w:t>１０日間</w:t>
      </w:r>
    </w:p>
    <w:p w:rsidR="006E524E" w:rsidRDefault="006E524E" w:rsidP="006E524E">
      <w:pPr>
        <w:ind w:firstLineChars="400" w:firstLine="880"/>
        <w:rPr>
          <w:rFonts w:asciiTheme="minorEastAsia" w:hAnsiTheme="minorEastAsia"/>
          <w:sz w:val="22"/>
        </w:rPr>
      </w:pPr>
    </w:p>
    <w:p w:rsidR="00416D0B" w:rsidRDefault="00416D0B" w:rsidP="00416D0B">
      <w:pPr>
        <w:rPr>
          <w:rFonts w:asciiTheme="minorEastAsia" w:hAnsiTheme="minorEastAsia"/>
          <w:sz w:val="22"/>
        </w:rPr>
      </w:pPr>
      <w:r w:rsidRPr="00416D0B">
        <w:rPr>
          <w:rFonts w:asciiTheme="minorEastAsia" w:hAnsiTheme="minorEastAsia" w:hint="eastAsia"/>
          <w:sz w:val="22"/>
        </w:rPr>
        <w:t>（標準事務処理期間の算定）</w:t>
      </w:r>
    </w:p>
    <w:p w:rsidR="00416D0B" w:rsidRDefault="00416D0B" w:rsidP="00416D0B">
      <w:pPr>
        <w:ind w:left="220" w:hangingChars="100" w:hanging="220"/>
        <w:rPr>
          <w:rFonts w:asciiTheme="minorEastAsia" w:hAnsiTheme="minorEastAsia"/>
          <w:sz w:val="22"/>
        </w:rPr>
      </w:pPr>
      <w:r w:rsidRPr="00416D0B">
        <w:rPr>
          <w:rFonts w:asciiTheme="minorEastAsia" w:hAnsiTheme="minorEastAsia" w:hint="eastAsia"/>
          <w:sz w:val="22"/>
        </w:rPr>
        <w:t>第７条　標準事務処理期間は、収載願等がくすり政策課に到達した日から起算して、収載願を提出した医薬品製造販売業者に対して通知を行う日までの日数とする。</w:t>
      </w:r>
    </w:p>
    <w:p w:rsidR="00416D0B" w:rsidRDefault="00416D0B" w:rsidP="00416D0B">
      <w:pPr>
        <w:ind w:left="220" w:hangingChars="100" w:hanging="220"/>
        <w:rPr>
          <w:rFonts w:asciiTheme="minorEastAsia" w:hAnsiTheme="minorEastAsia"/>
          <w:sz w:val="22"/>
        </w:rPr>
      </w:pPr>
      <w:r w:rsidRPr="00416D0B">
        <w:rPr>
          <w:rFonts w:asciiTheme="minorEastAsia" w:hAnsiTheme="minorEastAsia" w:hint="eastAsia"/>
          <w:sz w:val="22"/>
        </w:rPr>
        <w:t>２　次に掲げる期間は、標準事務処理期間に算入しないものとする。</w:t>
      </w:r>
    </w:p>
    <w:p w:rsidR="00416D0B" w:rsidRDefault="00416D0B" w:rsidP="00416D0B">
      <w:pPr>
        <w:ind w:left="660" w:hangingChars="300" w:hanging="660"/>
        <w:rPr>
          <w:rFonts w:asciiTheme="minorEastAsia" w:hAnsiTheme="minorEastAsia"/>
          <w:sz w:val="22"/>
        </w:rPr>
      </w:pPr>
      <w:r w:rsidRPr="00416D0B">
        <w:rPr>
          <w:rFonts w:asciiTheme="minorEastAsia" w:hAnsiTheme="minorEastAsia" w:hint="eastAsia"/>
          <w:sz w:val="22"/>
        </w:rPr>
        <w:t>（１）　富山県の休日を定める条例（平成元年富山県条例第１号）第１条第１項に定める休日の日数</w:t>
      </w:r>
    </w:p>
    <w:p w:rsidR="00416D0B" w:rsidRDefault="00416D0B" w:rsidP="00416D0B">
      <w:pPr>
        <w:ind w:left="660" w:hangingChars="300" w:hanging="660"/>
        <w:rPr>
          <w:rFonts w:asciiTheme="minorEastAsia" w:hAnsiTheme="minorEastAsia"/>
          <w:sz w:val="22"/>
        </w:rPr>
      </w:pPr>
      <w:r w:rsidRPr="00416D0B">
        <w:rPr>
          <w:rFonts w:asciiTheme="minorEastAsia" w:hAnsiTheme="minorEastAsia" w:hint="eastAsia"/>
          <w:sz w:val="22"/>
        </w:rPr>
        <w:t>（２）　収載願等の形式上の要件に係る不備等の理由による補正に必要な書類等の追加に要する日数</w:t>
      </w:r>
    </w:p>
    <w:p w:rsidR="00416D0B" w:rsidRPr="00416D0B" w:rsidRDefault="00416D0B" w:rsidP="00416D0B">
      <w:pPr>
        <w:ind w:left="220" w:hangingChars="100" w:hanging="220"/>
        <w:rPr>
          <w:rFonts w:asciiTheme="minorEastAsia" w:hAnsiTheme="minorEastAsia"/>
          <w:sz w:val="22"/>
        </w:rPr>
      </w:pPr>
      <w:r w:rsidRPr="00416D0B">
        <w:rPr>
          <w:rFonts w:asciiTheme="minorEastAsia" w:hAnsiTheme="minorEastAsia" w:hint="eastAsia"/>
          <w:sz w:val="22"/>
        </w:rPr>
        <w:t>（３）　収載願等の提出者が自ら収載願等の内容を変更するために必要とする日数</w:t>
      </w:r>
    </w:p>
    <w:p w:rsidR="00416D0B" w:rsidRPr="00416D0B" w:rsidRDefault="00416D0B" w:rsidP="002B575E">
      <w:pPr>
        <w:ind w:left="220" w:hangingChars="100" w:hanging="220"/>
        <w:rPr>
          <w:sz w:val="22"/>
        </w:rPr>
      </w:pPr>
    </w:p>
    <w:p w:rsidR="00416D0B" w:rsidRPr="00416D0B" w:rsidRDefault="00416D0B" w:rsidP="00416D0B">
      <w:pPr>
        <w:ind w:leftChars="100" w:left="210" w:firstLineChars="200" w:firstLine="440"/>
        <w:rPr>
          <w:sz w:val="22"/>
        </w:rPr>
      </w:pPr>
      <w:r>
        <w:rPr>
          <w:rFonts w:hint="eastAsia"/>
          <w:sz w:val="22"/>
        </w:rPr>
        <w:t>附　則</w:t>
      </w:r>
    </w:p>
    <w:p w:rsidR="00416D0B" w:rsidRDefault="00416D0B" w:rsidP="00416D0B">
      <w:pPr>
        <w:ind w:left="220" w:hangingChars="100" w:hanging="220"/>
        <w:rPr>
          <w:sz w:val="22"/>
        </w:rPr>
      </w:pPr>
      <w:r>
        <w:rPr>
          <w:rFonts w:hint="eastAsia"/>
          <w:sz w:val="22"/>
        </w:rPr>
        <w:t xml:space="preserve">　この要領は、平成１５年１２月２５日から施行する。</w:t>
      </w:r>
    </w:p>
    <w:p w:rsidR="00416D0B" w:rsidRDefault="00416D0B" w:rsidP="00416D0B">
      <w:pPr>
        <w:ind w:left="220" w:hangingChars="100" w:hanging="220"/>
        <w:rPr>
          <w:sz w:val="22"/>
        </w:rPr>
      </w:pPr>
      <w:r>
        <w:rPr>
          <w:rFonts w:hint="eastAsia"/>
          <w:sz w:val="22"/>
        </w:rPr>
        <w:t xml:space="preserve">　　　附　則</w:t>
      </w:r>
    </w:p>
    <w:p w:rsidR="00416D0B" w:rsidRDefault="005425E4" w:rsidP="002B575E">
      <w:pPr>
        <w:ind w:left="220" w:hangingChars="100" w:hanging="220"/>
        <w:rPr>
          <w:sz w:val="22"/>
        </w:rPr>
      </w:pPr>
      <w:r>
        <w:rPr>
          <w:rFonts w:hint="eastAsia"/>
          <w:sz w:val="22"/>
        </w:rPr>
        <w:t xml:space="preserve">　この要領は、平成２６年　６</w:t>
      </w:r>
      <w:r w:rsidR="00416D0B">
        <w:rPr>
          <w:rFonts w:hint="eastAsia"/>
          <w:sz w:val="22"/>
        </w:rPr>
        <w:t>月　１日から施行する。</w:t>
      </w:r>
    </w:p>
    <w:p w:rsidR="008D65E4" w:rsidRDefault="008D65E4" w:rsidP="008D65E4">
      <w:pPr>
        <w:ind w:left="220" w:hangingChars="100" w:hanging="220"/>
        <w:rPr>
          <w:sz w:val="22"/>
        </w:rPr>
      </w:pPr>
      <w:r>
        <w:rPr>
          <w:rFonts w:hint="eastAsia"/>
          <w:sz w:val="22"/>
        </w:rPr>
        <w:t xml:space="preserve">　　　附　則</w:t>
      </w:r>
    </w:p>
    <w:p w:rsidR="008D65E4" w:rsidRPr="0091654C" w:rsidRDefault="000610B2" w:rsidP="008D65E4">
      <w:pPr>
        <w:ind w:left="220" w:hangingChars="100" w:hanging="220"/>
        <w:rPr>
          <w:sz w:val="22"/>
        </w:rPr>
      </w:pPr>
      <w:r>
        <w:rPr>
          <w:rFonts w:hint="eastAsia"/>
          <w:sz w:val="22"/>
        </w:rPr>
        <w:t xml:space="preserve">　この要領は、令和</w:t>
      </w:r>
      <w:r w:rsidR="002039BE">
        <w:rPr>
          <w:rFonts w:hint="eastAsia"/>
          <w:sz w:val="22"/>
        </w:rPr>
        <w:t xml:space="preserve">　</w:t>
      </w:r>
      <w:r>
        <w:rPr>
          <w:rFonts w:hint="eastAsia"/>
          <w:sz w:val="22"/>
        </w:rPr>
        <w:t>３年　１月２９</w:t>
      </w:r>
      <w:r w:rsidR="008D65E4">
        <w:rPr>
          <w:rFonts w:hint="eastAsia"/>
          <w:sz w:val="22"/>
        </w:rPr>
        <w:t>日から施行する。</w:t>
      </w:r>
    </w:p>
    <w:p w:rsidR="008D65E4" w:rsidRPr="008D65E4" w:rsidRDefault="008D65E4" w:rsidP="002B575E">
      <w:pPr>
        <w:ind w:left="220" w:hangingChars="100" w:hanging="220"/>
        <w:rPr>
          <w:sz w:val="22"/>
        </w:rPr>
      </w:pPr>
    </w:p>
    <w:p w:rsidR="00D93049" w:rsidRPr="0091654C" w:rsidRDefault="00D93049">
      <w:pPr>
        <w:widowControl/>
        <w:jc w:val="left"/>
        <w:rPr>
          <w:sz w:val="22"/>
        </w:rPr>
      </w:pPr>
      <w:r w:rsidRPr="0091654C">
        <w:rPr>
          <w:sz w:val="22"/>
        </w:rPr>
        <w:br w:type="page"/>
      </w:r>
    </w:p>
    <w:p w:rsidR="00D93049" w:rsidRPr="0091654C" w:rsidRDefault="00D93049" w:rsidP="00D93049">
      <w:pPr>
        <w:rPr>
          <w:sz w:val="22"/>
        </w:rPr>
      </w:pPr>
    </w:p>
    <w:p w:rsidR="00D93049" w:rsidRPr="0091654C" w:rsidRDefault="00D93049" w:rsidP="00D93049">
      <w:pPr>
        <w:rPr>
          <w:sz w:val="22"/>
        </w:rPr>
      </w:pPr>
      <w:r w:rsidRPr="0091654C">
        <w:rPr>
          <w:rFonts w:hint="eastAsia"/>
          <w:sz w:val="22"/>
        </w:rPr>
        <w:t>様式１</w:t>
      </w:r>
    </w:p>
    <w:p w:rsidR="00D93049" w:rsidRPr="0091654C" w:rsidRDefault="00D93049" w:rsidP="00D93049">
      <w:pPr>
        <w:rPr>
          <w:sz w:val="22"/>
        </w:rPr>
      </w:pPr>
      <w:r w:rsidRPr="0091654C">
        <w:rPr>
          <w:rFonts w:hint="eastAsia"/>
          <w:sz w:val="22"/>
        </w:rPr>
        <w:t xml:space="preserve">　　　　　　　　　　　　　　　　　　　　　　　　　　　　年　　月　　日</w:t>
      </w:r>
    </w:p>
    <w:p w:rsidR="00D93049" w:rsidRPr="0091654C" w:rsidRDefault="00D93049" w:rsidP="00D93049">
      <w:pPr>
        <w:rPr>
          <w:sz w:val="22"/>
        </w:rPr>
      </w:pPr>
    </w:p>
    <w:p w:rsidR="00D93049" w:rsidRPr="0091654C" w:rsidRDefault="00D93049" w:rsidP="0091654C">
      <w:pPr>
        <w:jc w:val="center"/>
        <w:rPr>
          <w:sz w:val="22"/>
        </w:rPr>
      </w:pPr>
      <w:r w:rsidRPr="0091654C">
        <w:rPr>
          <w:rFonts w:hint="eastAsia"/>
          <w:sz w:val="22"/>
        </w:rPr>
        <w:t>富山県配置家庭薬品目収載台帳収載願</w:t>
      </w:r>
    </w:p>
    <w:p w:rsidR="00D93049" w:rsidRPr="0091654C" w:rsidRDefault="00D93049" w:rsidP="00D93049">
      <w:pPr>
        <w:rPr>
          <w:sz w:val="22"/>
        </w:rPr>
      </w:pPr>
    </w:p>
    <w:p w:rsidR="00D93049" w:rsidRPr="0091654C" w:rsidRDefault="00D93049" w:rsidP="00D93049">
      <w:pPr>
        <w:rPr>
          <w:sz w:val="22"/>
        </w:rPr>
      </w:pPr>
    </w:p>
    <w:p w:rsidR="00D93049" w:rsidRPr="0091654C" w:rsidRDefault="00D93049" w:rsidP="00D93049">
      <w:pPr>
        <w:rPr>
          <w:sz w:val="22"/>
        </w:rPr>
      </w:pPr>
    </w:p>
    <w:p w:rsidR="00D93049" w:rsidRPr="0091654C" w:rsidRDefault="00D93049" w:rsidP="0091654C">
      <w:pPr>
        <w:ind w:firstLineChars="100" w:firstLine="220"/>
        <w:rPr>
          <w:sz w:val="22"/>
        </w:rPr>
      </w:pPr>
      <w:r w:rsidRPr="0091654C">
        <w:rPr>
          <w:rFonts w:hint="eastAsia"/>
          <w:sz w:val="22"/>
        </w:rPr>
        <w:t>富山県厚生部くすり政策課長　殿</w:t>
      </w:r>
    </w:p>
    <w:p w:rsidR="00D93049" w:rsidRPr="0091654C" w:rsidRDefault="00D93049" w:rsidP="0091654C">
      <w:pPr>
        <w:ind w:firstLineChars="100" w:firstLine="220"/>
        <w:rPr>
          <w:sz w:val="22"/>
        </w:rPr>
      </w:pPr>
    </w:p>
    <w:p w:rsidR="00D93049" w:rsidRPr="0091654C" w:rsidRDefault="00D93049" w:rsidP="0091654C">
      <w:pPr>
        <w:ind w:firstLineChars="100" w:firstLine="220"/>
        <w:rPr>
          <w:sz w:val="22"/>
        </w:rPr>
      </w:pPr>
    </w:p>
    <w:p w:rsidR="00D93049" w:rsidRPr="0091654C" w:rsidRDefault="00D93049" w:rsidP="0091654C">
      <w:pPr>
        <w:ind w:firstLineChars="1476" w:firstLine="3247"/>
        <w:rPr>
          <w:sz w:val="22"/>
        </w:rPr>
      </w:pPr>
      <w:r w:rsidRPr="0091654C">
        <w:rPr>
          <w:rFonts w:hint="eastAsia"/>
          <w:sz w:val="22"/>
        </w:rPr>
        <w:t>収載希望医薬品製造販売業者</w:t>
      </w:r>
    </w:p>
    <w:p w:rsidR="00D93049" w:rsidRPr="0091654C" w:rsidRDefault="00D93049" w:rsidP="0091654C">
      <w:pPr>
        <w:ind w:firstLineChars="1476" w:firstLine="3247"/>
        <w:rPr>
          <w:sz w:val="22"/>
        </w:rPr>
      </w:pPr>
      <w:r w:rsidRPr="0091654C">
        <w:rPr>
          <w:rFonts w:hint="eastAsia"/>
          <w:sz w:val="22"/>
        </w:rPr>
        <w:t>住所（法人にあっては、主たる事務所の所在地）</w:t>
      </w:r>
    </w:p>
    <w:p w:rsidR="00D93049" w:rsidRPr="0091654C" w:rsidRDefault="00D93049" w:rsidP="0091654C">
      <w:pPr>
        <w:ind w:firstLineChars="1476" w:firstLine="3247"/>
        <w:rPr>
          <w:sz w:val="22"/>
        </w:rPr>
      </w:pPr>
    </w:p>
    <w:p w:rsidR="00D93049" w:rsidRDefault="00D93049" w:rsidP="0091654C">
      <w:pPr>
        <w:ind w:firstLineChars="1476" w:firstLine="3247"/>
        <w:rPr>
          <w:sz w:val="22"/>
        </w:rPr>
      </w:pPr>
      <w:r w:rsidRPr="0091654C">
        <w:rPr>
          <w:rFonts w:hint="eastAsia"/>
          <w:sz w:val="22"/>
        </w:rPr>
        <w:t>氏名（法人にあっては、名称及び代表者氏名）</w:t>
      </w:r>
    </w:p>
    <w:p w:rsidR="0091654C" w:rsidRPr="0091654C" w:rsidRDefault="0091654C" w:rsidP="0091654C">
      <w:pPr>
        <w:ind w:firstLineChars="1476" w:firstLine="3247"/>
        <w:rPr>
          <w:sz w:val="22"/>
        </w:rPr>
      </w:pPr>
    </w:p>
    <w:p w:rsidR="00D93049" w:rsidRPr="0091654C" w:rsidRDefault="00D93049" w:rsidP="0091654C">
      <w:pPr>
        <w:ind w:left="7700" w:hangingChars="3500" w:hanging="7700"/>
        <w:rPr>
          <w:sz w:val="22"/>
        </w:rPr>
      </w:pPr>
      <w:r w:rsidRPr="0091654C">
        <w:rPr>
          <w:rFonts w:hint="eastAsia"/>
          <w:sz w:val="22"/>
        </w:rPr>
        <w:t xml:space="preserve">　　　　　　　　　　　　　　　　　　　　　　　　　　　　　　　　　</w:t>
      </w:r>
      <w:r w:rsidR="0091654C">
        <w:rPr>
          <w:rFonts w:hint="eastAsia"/>
          <w:sz w:val="22"/>
        </w:rPr>
        <w:t xml:space="preserve">　　</w:t>
      </w:r>
    </w:p>
    <w:p w:rsidR="00D93049" w:rsidRPr="0091654C" w:rsidRDefault="00D93049" w:rsidP="00D93049">
      <w:pPr>
        <w:rPr>
          <w:sz w:val="22"/>
        </w:rPr>
      </w:pPr>
    </w:p>
    <w:p w:rsidR="00D93049" w:rsidRPr="0091654C" w:rsidRDefault="00D93049" w:rsidP="00D93049">
      <w:pPr>
        <w:rPr>
          <w:sz w:val="22"/>
        </w:rPr>
      </w:pPr>
    </w:p>
    <w:p w:rsidR="00D93049" w:rsidRPr="0091654C" w:rsidRDefault="00D93049" w:rsidP="00D93049">
      <w:pPr>
        <w:rPr>
          <w:sz w:val="22"/>
        </w:rPr>
      </w:pPr>
    </w:p>
    <w:p w:rsidR="00D93049" w:rsidRPr="0091654C" w:rsidRDefault="00D93049" w:rsidP="00D93049">
      <w:pPr>
        <w:rPr>
          <w:sz w:val="22"/>
        </w:rPr>
      </w:pPr>
      <w:r w:rsidRPr="0091654C">
        <w:rPr>
          <w:rFonts w:hint="eastAsia"/>
          <w:sz w:val="22"/>
        </w:rPr>
        <w:t xml:space="preserve">　下記の品目について、富山県配置家庭薬品目収載台帳への収載をお願いします。</w:t>
      </w:r>
    </w:p>
    <w:p w:rsidR="00D93049" w:rsidRPr="0091654C" w:rsidRDefault="00D93049" w:rsidP="00D93049">
      <w:pPr>
        <w:rPr>
          <w:sz w:val="22"/>
        </w:rPr>
      </w:pPr>
    </w:p>
    <w:p w:rsidR="00D93049" w:rsidRPr="0091654C" w:rsidRDefault="00D93049" w:rsidP="00D93049">
      <w:pPr>
        <w:rPr>
          <w:sz w:val="22"/>
        </w:rPr>
      </w:pPr>
    </w:p>
    <w:p w:rsidR="00D93049" w:rsidRPr="0091654C" w:rsidRDefault="00D93049" w:rsidP="00D93049">
      <w:pPr>
        <w:pStyle w:val="a7"/>
        <w:rPr>
          <w:sz w:val="22"/>
          <w:szCs w:val="22"/>
        </w:rPr>
      </w:pPr>
      <w:r w:rsidRPr="0091654C">
        <w:rPr>
          <w:rFonts w:hint="eastAsia"/>
          <w:sz w:val="22"/>
          <w:szCs w:val="22"/>
        </w:rPr>
        <w:t>記</w:t>
      </w:r>
    </w:p>
    <w:p w:rsidR="00D93049" w:rsidRPr="0091654C" w:rsidRDefault="00D93049" w:rsidP="00D93049">
      <w:pPr>
        <w:rPr>
          <w:sz w:val="22"/>
        </w:rPr>
      </w:pPr>
    </w:p>
    <w:p w:rsidR="00D93049" w:rsidRPr="0091654C" w:rsidRDefault="00D93049" w:rsidP="00D93049">
      <w:pPr>
        <w:rPr>
          <w:sz w:val="22"/>
        </w:rPr>
      </w:pPr>
    </w:p>
    <w:tbl>
      <w:tblPr>
        <w:tblpPr w:leftFromText="142" w:rightFromText="142" w:vertAnchor="text" w:horzAnchor="page" w:tblpX="216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2436"/>
        <w:gridCol w:w="3144"/>
      </w:tblGrid>
      <w:tr w:rsidR="00D93049" w:rsidRPr="0091654C" w:rsidTr="0091654C">
        <w:trPr>
          <w:trHeight w:val="551"/>
        </w:trPr>
        <w:tc>
          <w:tcPr>
            <w:tcW w:w="2799" w:type="dxa"/>
          </w:tcPr>
          <w:p w:rsidR="00D93049" w:rsidRPr="0091654C" w:rsidRDefault="00D93049" w:rsidP="0091654C">
            <w:pPr>
              <w:ind w:firstLineChars="400" w:firstLine="880"/>
              <w:rPr>
                <w:sz w:val="22"/>
              </w:rPr>
            </w:pPr>
            <w:r w:rsidRPr="0091654C">
              <w:rPr>
                <w:rFonts w:hint="eastAsia"/>
                <w:sz w:val="22"/>
              </w:rPr>
              <w:t>品目名</w:t>
            </w:r>
          </w:p>
        </w:tc>
        <w:tc>
          <w:tcPr>
            <w:tcW w:w="2436" w:type="dxa"/>
          </w:tcPr>
          <w:p w:rsidR="00D93049" w:rsidRPr="0091654C" w:rsidRDefault="00C327DC" w:rsidP="00C327DC">
            <w:pPr>
              <w:jc w:val="center"/>
              <w:rPr>
                <w:sz w:val="22"/>
              </w:rPr>
            </w:pPr>
            <w:r>
              <w:rPr>
                <w:rFonts w:hint="eastAsia"/>
                <w:sz w:val="22"/>
              </w:rPr>
              <w:t>承認</w:t>
            </w:r>
            <w:r w:rsidR="00D93049" w:rsidRPr="0091654C">
              <w:rPr>
                <w:rFonts w:hint="eastAsia"/>
                <w:sz w:val="22"/>
              </w:rPr>
              <w:t>年月日</w:t>
            </w:r>
          </w:p>
        </w:tc>
        <w:tc>
          <w:tcPr>
            <w:tcW w:w="3144" w:type="dxa"/>
          </w:tcPr>
          <w:p w:rsidR="00D93049" w:rsidRPr="0091654C" w:rsidRDefault="00D93049" w:rsidP="0091654C">
            <w:pPr>
              <w:ind w:firstLineChars="300" w:firstLine="660"/>
              <w:rPr>
                <w:sz w:val="22"/>
              </w:rPr>
            </w:pPr>
            <w:r w:rsidRPr="0091654C">
              <w:rPr>
                <w:rFonts w:hint="eastAsia"/>
                <w:sz w:val="22"/>
              </w:rPr>
              <w:t>承認番号</w:t>
            </w:r>
          </w:p>
        </w:tc>
      </w:tr>
      <w:tr w:rsidR="00D93049" w:rsidRPr="0091654C" w:rsidTr="0091654C">
        <w:trPr>
          <w:trHeight w:val="560"/>
        </w:trPr>
        <w:tc>
          <w:tcPr>
            <w:tcW w:w="2799" w:type="dxa"/>
          </w:tcPr>
          <w:p w:rsidR="00D93049" w:rsidRPr="0091654C" w:rsidRDefault="00D93049" w:rsidP="0091654C">
            <w:pPr>
              <w:rPr>
                <w:sz w:val="22"/>
              </w:rPr>
            </w:pPr>
          </w:p>
        </w:tc>
        <w:tc>
          <w:tcPr>
            <w:tcW w:w="2436" w:type="dxa"/>
          </w:tcPr>
          <w:p w:rsidR="00D93049" w:rsidRPr="0091654C" w:rsidRDefault="00D93049" w:rsidP="0091654C">
            <w:pPr>
              <w:rPr>
                <w:sz w:val="22"/>
              </w:rPr>
            </w:pPr>
          </w:p>
        </w:tc>
        <w:tc>
          <w:tcPr>
            <w:tcW w:w="3144" w:type="dxa"/>
          </w:tcPr>
          <w:p w:rsidR="00D93049" w:rsidRPr="0091654C" w:rsidRDefault="00D93049" w:rsidP="0091654C">
            <w:pPr>
              <w:rPr>
                <w:sz w:val="22"/>
              </w:rPr>
            </w:pPr>
          </w:p>
        </w:tc>
      </w:tr>
    </w:tbl>
    <w:p w:rsidR="0091654C" w:rsidRDefault="0091654C" w:rsidP="0091654C">
      <w:pPr>
        <w:rPr>
          <w:sz w:val="22"/>
        </w:rPr>
      </w:pPr>
    </w:p>
    <w:p w:rsidR="0091654C" w:rsidRDefault="0091654C">
      <w:pPr>
        <w:widowControl/>
        <w:jc w:val="left"/>
        <w:rPr>
          <w:sz w:val="22"/>
        </w:rPr>
      </w:pPr>
      <w:r>
        <w:rPr>
          <w:sz w:val="22"/>
        </w:rPr>
        <w:br w:type="page"/>
      </w:r>
    </w:p>
    <w:p w:rsidR="0091654C" w:rsidRPr="0091654C" w:rsidRDefault="0091654C" w:rsidP="0091654C">
      <w:pPr>
        <w:rPr>
          <w:sz w:val="22"/>
        </w:rPr>
      </w:pPr>
    </w:p>
    <w:p w:rsidR="0091654C" w:rsidRDefault="0091654C" w:rsidP="0091654C">
      <w:pPr>
        <w:rPr>
          <w:sz w:val="22"/>
        </w:rPr>
      </w:pPr>
      <w:r>
        <w:rPr>
          <w:rFonts w:hint="eastAsia"/>
          <w:sz w:val="22"/>
        </w:rPr>
        <w:t>様式２</w:t>
      </w:r>
    </w:p>
    <w:p w:rsidR="0091654C" w:rsidRPr="0091654C" w:rsidRDefault="0091654C" w:rsidP="0091654C">
      <w:pPr>
        <w:jc w:val="center"/>
        <w:rPr>
          <w:sz w:val="24"/>
        </w:rPr>
      </w:pPr>
      <w:r w:rsidRPr="0091654C">
        <w:rPr>
          <w:rFonts w:hint="eastAsia"/>
          <w:sz w:val="24"/>
        </w:rPr>
        <w:t>「品目表　様式」</w:t>
      </w:r>
    </w:p>
    <w:p w:rsidR="00D93049" w:rsidRDefault="00D93049" w:rsidP="0091654C">
      <w:pPr>
        <w:widowControl/>
        <w:jc w:val="left"/>
        <w:rPr>
          <w:sz w:val="22"/>
        </w:rPr>
      </w:pPr>
    </w:p>
    <w:p w:rsidR="0091654C" w:rsidRDefault="0091654C" w:rsidP="0091654C">
      <w:pPr>
        <w:widowControl/>
        <w:ind w:left="110" w:hangingChars="50" w:hanging="110"/>
        <w:jc w:val="left"/>
        <w:rPr>
          <w:sz w:val="22"/>
        </w:rPr>
      </w:pPr>
      <w:r>
        <w:rPr>
          <w:rFonts w:hint="eastAsia"/>
          <w:sz w:val="22"/>
        </w:rPr>
        <w:t xml:space="preserve">　氏名　○</w:t>
      </w:r>
      <w:r>
        <w:rPr>
          <w:rFonts w:hint="eastAsia"/>
          <w:sz w:val="22"/>
        </w:rPr>
        <w:t xml:space="preserve"> </w:t>
      </w:r>
      <w:r>
        <w:rPr>
          <w:rFonts w:hint="eastAsia"/>
          <w:sz w:val="22"/>
        </w:rPr>
        <w:t>○</w:t>
      </w:r>
      <w:r>
        <w:rPr>
          <w:rFonts w:hint="eastAsia"/>
          <w:sz w:val="22"/>
        </w:rPr>
        <w:t xml:space="preserve"> </w:t>
      </w:r>
      <w:r>
        <w:rPr>
          <w:rFonts w:hint="eastAsia"/>
          <w:sz w:val="22"/>
        </w:rPr>
        <w:t>○　製薬会社　　　　　　　住所　　富山県　○</w:t>
      </w:r>
      <w:r>
        <w:rPr>
          <w:rFonts w:hint="eastAsia"/>
          <w:sz w:val="22"/>
        </w:rPr>
        <w:t xml:space="preserve"> </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w:t>
      </w:r>
    </w:p>
    <w:p w:rsidR="0091654C" w:rsidRDefault="0091654C" w:rsidP="0091654C">
      <w:pPr>
        <w:widowControl/>
        <w:ind w:left="110" w:hangingChars="50" w:hanging="110"/>
        <w:jc w:val="left"/>
        <w:rPr>
          <w:sz w:val="22"/>
        </w:rPr>
      </w:pPr>
      <w:r>
        <w:rPr>
          <w:rFonts w:hint="eastAsia"/>
          <w:sz w:val="22"/>
        </w:rPr>
        <w:t xml:space="preserve">　　　　　　　　　　　　　　　　　　　　　　　　品目番号　△</w:t>
      </w:r>
      <w:r>
        <w:rPr>
          <w:rFonts w:hint="eastAsia"/>
          <w:sz w:val="22"/>
        </w:rPr>
        <w:t xml:space="preserve"> </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w:t>
      </w:r>
    </w:p>
    <w:p w:rsidR="0091654C" w:rsidRDefault="0091654C" w:rsidP="0091654C">
      <w:pPr>
        <w:widowControl/>
        <w:ind w:left="110" w:hangingChars="50" w:hanging="110"/>
        <w:jc w:val="left"/>
        <w:rPr>
          <w:sz w:val="22"/>
        </w:rPr>
      </w:pPr>
    </w:p>
    <w:tbl>
      <w:tblPr>
        <w:tblW w:w="88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3195"/>
        <w:gridCol w:w="2520"/>
        <w:gridCol w:w="2400"/>
      </w:tblGrid>
      <w:tr w:rsidR="0091654C" w:rsidTr="0091654C">
        <w:trPr>
          <w:trHeight w:val="600"/>
        </w:trPr>
        <w:tc>
          <w:tcPr>
            <w:tcW w:w="735" w:type="dxa"/>
            <w:vMerge w:val="restart"/>
          </w:tcPr>
          <w:p w:rsidR="00A4741B" w:rsidRDefault="00A4741B" w:rsidP="00A4741B">
            <w:pPr>
              <w:widowControl/>
              <w:spacing w:line="720" w:lineRule="auto"/>
              <w:jc w:val="center"/>
              <w:rPr>
                <w:sz w:val="22"/>
              </w:rPr>
            </w:pPr>
            <w:r>
              <w:rPr>
                <w:rFonts w:hint="eastAsia"/>
                <w:sz w:val="22"/>
              </w:rPr>
              <w:t>名称</w:t>
            </w:r>
          </w:p>
        </w:tc>
        <w:tc>
          <w:tcPr>
            <w:tcW w:w="3195" w:type="dxa"/>
            <w:vMerge w:val="restart"/>
          </w:tcPr>
          <w:p w:rsidR="0091654C" w:rsidRDefault="0091654C" w:rsidP="00A4741B">
            <w:pPr>
              <w:widowControl/>
              <w:spacing w:line="720" w:lineRule="auto"/>
              <w:jc w:val="center"/>
              <w:rPr>
                <w:sz w:val="22"/>
              </w:rPr>
            </w:pPr>
          </w:p>
        </w:tc>
        <w:tc>
          <w:tcPr>
            <w:tcW w:w="2520" w:type="dxa"/>
          </w:tcPr>
          <w:p w:rsidR="0091654C" w:rsidRDefault="00A4741B" w:rsidP="00A4741B">
            <w:pPr>
              <w:widowControl/>
              <w:spacing w:line="480" w:lineRule="auto"/>
              <w:jc w:val="center"/>
              <w:rPr>
                <w:sz w:val="22"/>
              </w:rPr>
            </w:pPr>
            <w:r>
              <w:rPr>
                <w:rFonts w:hint="eastAsia"/>
                <w:sz w:val="22"/>
              </w:rPr>
              <w:t>承認年月日</w:t>
            </w:r>
          </w:p>
        </w:tc>
        <w:tc>
          <w:tcPr>
            <w:tcW w:w="2400" w:type="dxa"/>
          </w:tcPr>
          <w:p w:rsidR="0091654C" w:rsidRDefault="0091654C" w:rsidP="00A4741B">
            <w:pPr>
              <w:widowControl/>
              <w:spacing w:line="480" w:lineRule="auto"/>
              <w:jc w:val="center"/>
              <w:rPr>
                <w:sz w:val="22"/>
              </w:rPr>
            </w:pPr>
          </w:p>
        </w:tc>
      </w:tr>
      <w:tr w:rsidR="0091654C" w:rsidTr="0091654C">
        <w:trPr>
          <w:trHeight w:val="660"/>
        </w:trPr>
        <w:tc>
          <w:tcPr>
            <w:tcW w:w="735" w:type="dxa"/>
            <w:vMerge/>
          </w:tcPr>
          <w:p w:rsidR="0091654C" w:rsidRDefault="0091654C" w:rsidP="00A4741B">
            <w:pPr>
              <w:widowControl/>
              <w:spacing w:line="480" w:lineRule="auto"/>
              <w:jc w:val="center"/>
              <w:rPr>
                <w:sz w:val="22"/>
              </w:rPr>
            </w:pPr>
          </w:p>
        </w:tc>
        <w:tc>
          <w:tcPr>
            <w:tcW w:w="3195" w:type="dxa"/>
            <w:vMerge/>
          </w:tcPr>
          <w:p w:rsidR="0091654C" w:rsidRDefault="0091654C" w:rsidP="00A4741B">
            <w:pPr>
              <w:widowControl/>
              <w:spacing w:line="480" w:lineRule="auto"/>
              <w:jc w:val="center"/>
              <w:rPr>
                <w:sz w:val="22"/>
              </w:rPr>
            </w:pPr>
          </w:p>
        </w:tc>
        <w:tc>
          <w:tcPr>
            <w:tcW w:w="2520" w:type="dxa"/>
          </w:tcPr>
          <w:p w:rsidR="0091654C" w:rsidRDefault="00A4741B" w:rsidP="00A4741B">
            <w:pPr>
              <w:widowControl/>
              <w:spacing w:line="480" w:lineRule="auto"/>
              <w:jc w:val="center"/>
              <w:rPr>
                <w:sz w:val="22"/>
              </w:rPr>
            </w:pPr>
            <w:r>
              <w:rPr>
                <w:rFonts w:hint="eastAsia"/>
                <w:sz w:val="22"/>
              </w:rPr>
              <w:t>承認番号</w:t>
            </w:r>
          </w:p>
        </w:tc>
        <w:tc>
          <w:tcPr>
            <w:tcW w:w="2400" w:type="dxa"/>
          </w:tcPr>
          <w:p w:rsidR="0091654C" w:rsidRDefault="0091654C" w:rsidP="00A4741B">
            <w:pPr>
              <w:widowControl/>
              <w:spacing w:line="480" w:lineRule="auto"/>
              <w:jc w:val="center"/>
              <w:rPr>
                <w:sz w:val="22"/>
              </w:rPr>
            </w:pPr>
          </w:p>
        </w:tc>
      </w:tr>
      <w:tr w:rsidR="0091654C" w:rsidTr="0091654C">
        <w:trPr>
          <w:trHeight w:val="615"/>
        </w:trPr>
        <w:tc>
          <w:tcPr>
            <w:tcW w:w="3930" w:type="dxa"/>
            <w:gridSpan w:val="2"/>
          </w:tcPr>
          <w:p w:rsidR="0091654C" w:rsidRDefault="00A4741B" w:rsidP="00A4741B">
            <w:pPr>
              <w:widowControl/>
              <w:spacing w:line="480" w:lineRule="auto"/>
              <w:jc w:val="center"/>
              <w:rPr>
                <w:sz w:val="22"/>
              </w:rPr>
            </w:pPr>
            <w:r>
              <w:rPr>
                <w:rFonts w:hint="eastAsia"/>
                <w:sz w:val="22"/>
              </w:rPr>
              <w:t>成分及び分量</w:t>
            </w:r>
          </w:p>
        </w:tc>
        <w:tc>
          <w:tcPr>
            <w:tcW w:w="2520" w:type="dxa"/>
          </w:tcPr>
          <w:p w:rsidR="0091654C" w:rsidRDefault="00A4741B" w:rsidP="00A4741B">
            <w:pPr>
              <w:widowControl/>
              <w:spacing w:line="480" w:lineRule="auto"/>
              <w:jc w:val="center"/>
              <w:rPr>
                <w:sz w:val="22"/>
              </w:rPr>
            </w:pPr>
            <w:r>
              <w:rPr>
                <w:rFonts w:hint="eastAsia"/>
                <w:sz w:val="22"/>
              </w:rPr>
              <w:t>用法及び用量</w:t>
            </w:r>
          </w:p>
        </w:tc>
        <w:tc>
          <w:tcPr>
            <w:tcW w:w="2400" w:type="dxa"/>
          </w:tcPr>
          <w:p w:rsidR="0091654C" w:rsidRDefault="00A4741B" w:rsidP="00A4741B">
            <w:pPr>
              <w:widowControl/>
              <w:spacing w:line="480" w:lineRule="auto"/>
              <w:jc w:val="center"/>
              <w:rPr>
                <w:sz w:val="22"/>
              </w:rPr>
            </w:pPr>
            <w:r>
              <w:rPr>
                <w:rFonts w:hint="eastAsia"/>
                <w:sz w:val="22"/>
              </w:rPr>
              <w:t>効能又は効果</w:t>
            </w:r>
          </w:p>
        </w:tc>
      </w:tr>
      <w:tr w:rsidR="0091654C" w:rsidTr="0091654C">
        <w:trPr>
          <w:trHeight w:val="5355"/>
        </w:trPr>
        <w:tc>
          <w:tcPr>
            <w:tcW w:w="3930" w:type="dxa"/>
            <w:gridSpan w:val="2"/>
          </w:tcPr>
          <w:p w:rsidR="0091654C" w:rsidRDefault="0091654C" w:rsidP="0091654C">
            <w:pPr>
              <w:widowControl/>
              <w:jc w:val="left"/>
              <w:rPr>
                <w:sz w:val="22"/>
              </w:rPr>
            </w:pPr>
          </w:p>
          <w:p w:rsidR="00A4741B" w:rsidRDefault="00A4741B" w:rsidP="0091654C">
            <w:pPr>
              <w:widowControl/>
              <w:jc w:val="left"/>
              <w:rPr>
                <w:sz w:val="22"/>
              </w:rPr>
            </w:pPr>
          </w:p>
          <w:p w:rsidR="00A4741B" w:rsidRDefault="00A4741B" w:rsidP="0091654C">
            <w:pPr>
              <w:widowControl/>
              <w:jc w:val="left"/>
              <w:rPr>
                <w:sz w:val="22"/>
              </w:rPr>
            </w:pPr>
            <w:r>
              <w:rPr>
                <w:rFonts w:hint="eastAsia"/>
                <w:sz w:val="22"/>
              </w:rPr>
              <w:t xml:space="preserve">　１日量（○錠）中</w:t>
            </w:r>
          </w:p>
          <w:p w:rsidR="00A4741B" w:rsidRDefault="00A4741B" w:rsidP="0091654C">
            <w:pPr>
              <w:widowControl/>
              <w:jc w:val="left"/>
              <w:rPr>
                <w:sz w:val="22"/>
              </w:rPr>
            </w:pPr>
            <w:r>
              <w:rPr>
                <w:rFonts w:hint="eastAsia"/>
                <w:sz w:val="22"/>
              </w:rPr>
              <w:t xml:space="preserve">　</w:t>
            </w:r>
            <w:r>
              <w:rPr>
                <w:rFonts w:hint="eastAsia"/>
                <w:sz w:val="22"/>
              </w:rPr>
              <w:t xml:space="preserve"> </w:t>
            </w:r>
            <w:r>
              <w:rPr>
                <w:rFonts w:hint="eastAsia"/>
                <w:sz w:val="22"/>
              </w:rPr>
              <w:t>日　　局</w:t>
            </w:r>
            <w:r>
              <w:rPr>
                <w:rFonts w:hint="eastAsia"/>
                <w:sz w:val="22"/>
              </w:rPr>
              <w:t xml:space="preserve"> </w:t>
            </w:r>
            <w:r>
              <w:rPr>
                <w:rFonts w:hint="eastAsia"/>
                <w:sz w:val="22"/>
              </w:rPr>
              <w:t>○○○○　　○</w:t>
            </w:r>
            <w:r>
              <w:rPr>
                <w:rFonts w:hint="eastAsia"/>
                <w:sz w:val="22"/>
              </w:rPr>
              <w:t>mg</w:t>
            </w:r>
          </w:p>
          <w:p w:rsidR="00A4741B" w:rsidRDefault="00A4741B" w:rsidP="00A4741B">
            <w:pPr>
              <w:widowControl/>
              <w:jc w:val="left"/>
              <w:rPr>
                <w:sz w:val="22"/>
              </w:rPr>
            </w:pPr>
            <w:r>
              <w:rPr>
                <w:rFonts w:hint="eastAsia"/>
                <w:sz w:val="22"/>
              </w:rPr>
              <w:t xml:space="preserve">　</w:t>
            </w:r>
            <w:r>
              <w:rPr>
                <w:rFonts w:hint="eastAsia"/>
                <w:sz w:val="22"/>
              </w:rPr>
              <w:t xml:space="preserve"> </w:t>
            </w:r>
            <w:r>
              <w:rPr>
                <w:rFonts w:hint="eastAsia"/>
                <w:sz w:val="22"/>
              </w:rPr>
              <w:t>別紙規格</w:t>
            </w:r>
            <w:r>
              <w:rPr>
                <w:rFonts w:hint="eastAsia"/>
                <w:sz w:val="22"/>
              </w:rPr>
              <w:t xml:space="preserve"> </w:t>
            </w:r>
            <w:r>
              <w:rPr>
                <w:rFonts w:hint="eastAsia"/>
                <w:sz w:val="22"/>
              </w:rPr>
              <w:t>□□□□　　○</w:t>
            </w:r>
            <w:r>
              <w:rPr>
                <w:rFonts w:hint="eastAsia"/>
                <w:sz w:val="22"/>
              </w:rPr>
              <w:t>mg</w:t>
            </w:r>
          </w:p>
          <w:p w:rsidR="00A4741B" w:rsidRDefault="00183E24" w:rsidP="00A4741B">
            <w:pPr>
              <w:widowControl/>
              <w:jc w:val="left"/>
              <w:rPr>
                <w:sz w:val="22"/>
              </w:rPr>
            </w:pPr>
            <w:r>
              <w:rPr>
                <w:noProof/>
                <w:sz w:val="22"/>
              </w:rPr>
              <w:pict>
                <v:shapetype id="_x0000_t32" coordsize="21600,21600" o:spt="32" o:oned="t" path="m,l21600,21600e" filled="f">
                  <v:path arrowok="t" fillok="f" o:connecttype="none"/>
                  <o:lock v:ext="edit" shapetype="t"/>
                </v:shapetype>
                <v:shape id="_x0000_s2054" type="#_x0000_t32" style="position:absolute;margin-left:105.3pt;margin-top:4.75pt;width:0;height:42pt;z-index:251661312" o:connectortype="straight">
                  <v:stroke dashstyle="1 1"/>
                </v:shape>
              </w:pict>
            </w:r>
          </w:p>
          <w:p w:rsidR="00A4741B" w:rsidRDefault="00A4741B" w:rsidP="00A4741B">
            <w:pPr>
              <w:widowControl/>
              <w:jc w:val="left"/>
              <w:rPr>
                <w:sz w:val="22"/>
              </w:rPr>
            </w:pPr>
          </w:p>
          <w:p w:rsidR="00A4741B" w:rsidRDefault="00A4741B" w:rsidP="00A4741B">
            <w:pPr>
              <w:widowControl/>
              <w:jc w:val="left"/>
              <w:rPr>
                <w:sz w:val="22"/>
              </w:rPr>
            </w:pPr>
          </w:p>
          <w:p w:rsidR="00A4741B" w:rsidRDefault="00A4741B" w:rsidP="00A4741B">
            <w:pPr>
              <w:widowControl/>
              <w:jc w:val="left"/>
              <w:rPr>
                <w:sz w:val="22"/>
              </w:rPr>
            </w:pPr>
            <w:r>
              <w:rPr>
                <w:rFonts w:hint="eastAsia"/>
                <w:sz w:val="22"/>
              </w:rPr>
              <w:t xml:space="preserve">　</w:t>
            </w:r>
            <w:r>
              <w:rPr>
                <w:rFonts w:hint="eastAsia"/>
                <w:sz w:val="22"/>
              </w:rPr>
              <w:t xml:space="preserve"> </w:t>
            </w:r>
            <w:r>
              <w:rPr>
                <w:rFonts w:hint="eastAsia"/>
                <w:sz w:val="22"/>
              </w:rPr>
              <w:t>賦</w:t>
            </w:r>
            <w:r>
              <w:rPr>
                <w:rFonts w:hint="eastAsia"/>
                <w:sz w:val="22"/>
              </w:rPr>
              <w:t xml:space="preserve"> </w:t>
            </w:r>
            <w:r>
              <w:rPr>
                <w:rFonts w:hint="eastAsia"/>
                <w:sz w:val="22"/>
              </w:rPr>
              <w:t>形</w:t>
            </w:r>
            <w:r>
              <w:rPr>
                <w:rFonts w:hint="eastAsia"/>
                <w:sz w:val="22"/>
              </w:rPr>
              <w:t xml:space="preserve"> </w:t>
            </w:r>
            <w:r>
              <w:rPr>
                <w:rFonts w:hint="eastAsia"/>
                <w:sz w:val="22"/>
              </w:rPr>
              <w:t>剤</w:t>
            </w:r>
            <w:r>
              <w:rPr>
                <w:rFonts w:hint="eastAsia"/>
                <w:sz w:val="22"/>
              </w:rPr>
              <w:t xml:space="preserve"> </w:t>
            </w:r>
            <w:r>
              <w:rPr>
                <w:rFonts w:hint="eastAsia"/>
                <w:sz w:val="22"/>
              </w:rPr>
              <w:t xml:space="preserve">　　　　　　○</w:t>
            </w:r>
            <w:r>
              <w:rPr>
                <w:rFonts w:hint="eastAsia"/>
                <w:sz w:val="22"/>
              </w:rPr>
              <w:t>mg</w:t>
            </w:r>
          </w:p>
          <w:p w:rsidR="00A4741B" w:rsidRPr="00A4741B" w:rsidRDefault="00183E24" w:rsidP="00A4741B">
            <w:pPr>
              <w:widowControl/>
              <w:jc w:val="left"/>
              <w:rPr>
                <w:sz w:val="22"/>
              </w:rPr>
            </w:pPr>
            <w:r>
              <w:rPr>
                <w:noProof/>
                <w:sz w:val="22"/>
              </w:rPr>
              <w:pict>
                <v:shape id="_x0000_s2053" type="#_x0000_t32" style="position:absolute;margin-left:12.3pt;margin-top:0;width:150.75pt;height:0;z-index:251660288" o:connectortype="straight"/>
              </w:pict>
            </w:r>
            <w:r w:rsidR="00A4741B">
              <w:rPr>
                <w:rFonts w:hint="eastAsia"/>
                <w:sz w:val="22"/>
              </w:rPr>
              <w:t xml:space="preserve">              </w:t>
            </w:r>
            <w:r w:rsidR="00A4741B">
              <w:rPr>
                <w:rFonts w:hint="eastAsia"/>
                <w:sz w:val="22"/>
              </w:rPr>
              <w:t>合計　　　○</w:t>
            </w:r>
            <w:r w:rsidR="00A4741B">
              <w:rPr>
                <w:rFonts w:hint="eastAsia"/>
                <w:sz w:val="22"/>
              </w:rPr>
              <w:t>mg</w:t>
            </w:r>
          </w:p>
        </w:tc>
        <w:tc>
          <w:tcPr>
            <w:tcW w:w="2520" w:type="dxa"/>
          </w:tcPr>
          <w:p w:rsidR="0091654C" w:rsidRDefault="00183E24" w:rsidP="0091654C">
            <w:pPr>
              <w:widowControl/>
              <w:jc w:val="left"/>
              <w:rPr>
                <w:sz w:val="22"/>
              </w:rPr>
            </w:pPr>
            <w:r>
              <w:rPr>
                <w:noProof/>
                <w:sz w:val="22"/>
              </w:rPr>
              <w:pict>
                <v:shapetype id="_x0000_t202" coordsize="21600,21600" o:spt="202" path="m,l,21600r21600,l21600,xe">
                  <v:stroke joinstyle="miter"/>
                  <v:path gradientshapeok="t" o:connecttype="rect"/>
                </v:shapetype>
                <v:shape id="_x0000_s2051" type="#_x0000_t202" style="position:absolute;margin-left:58.05pt;margin-top:86.25pt;width:123pt;height:32.25pt;z-index:251659264;mso-position-horizontal-relative:text;mso-position-vertical-relative:text" stroked="f">
                  <v:textbox inset="5.85pt,.7pt,5.85pt,.7pt">
                    <w:txbxContent>
                      <w:p w:rsidR="00C327DC" w:rsidRDefault="00C327DC" w:rsidP="00A4741B">
                        <w:pPr>
                          <w:spacing w:line="480" w:lineRule="auto"/>
                          <w:jc w:val="center"/>
                        </w:pPr>
                        <w:r>
                          <w:rPr>
                            <w:rFonts w:hint="eastAsia"/>
                          </w:rPr>
                          <w:t>承認書のとおり</w:t>
                        </w:r>
                      </w:p>
                    </w:txbxContent>
                  </v:textbox>
                </v:shape>
              </w:pict>
            </w:r>
          </w:p>
        </w:tc>
        <w:tc>
          <w:tcPr>
            <w:tcW w:w="2400" w:type="dxa"/>
            <w:tcBorders>
              <w:right w:val="single" w:sz="4" w:space="0" w:color="auto"/>
            </w:tcBorders>
          </w:tcPr>
          <w:p w:rsidR="0091654C" w:rsidRDefault="0091654C" w:rsidP="0091654C">
            <w:pPr>
              <w:widowControl/>
              <w:jc w:val="left"/>
              <w:rPr>
                <w:sz w:val="22"/>
              </w:rPr>
            </w:pPr>
          </w:p>
        </w:tc>
      </w:tr>
      <w:tr w:rsidR="0091654C" w:rsidTr="0091654C">
        <w:trPr>
          <w:trHeight w:val="1695"/>
        </w:trPr>
        <w:tc>
          <w:tcPr>
            <w:tcW w:w="735" w:type="dxa"/>
          </w:tcPr>
          <w:p w:rsidR="0091654C" w:rsidRDefault="0091654C" w:rsidP="0091654C">
            <w:pPr>
              <w:widowControl/>
              <w:jc w:val="left"/>
              <w:rPr>
                <w:sz w:val="22"/>
              </w:rPr>
            </w:pPr>
          </w:p>
          <w:p w:rsidR="0091654C" w:rsidRDefault="0091654C" w:rsidP="0091654C">
            <w:pPr>
              <w:widowControl/>
              <w:jc w:val="left"/>
              <w:rPr>
                <w:sz w:val="22"/>
              </w:rPr>
            </w:pPr>
          </w:p>
          <w:p w:rsidR="0091654C" w:rsidRDefault="0091654C" w:rsidP="0091654C">
            <w:pPr>
              <w:widowControl/>
              <w:jc w:val="left"/>
              <w:rPr>
                <w:sz w:val="22"/>
              </w:rPr>
            </w:pPr>
            <w:r>
              <w:rPr>
                <w:rFonts w:hint="eastAsia"/>
                <w:sz w:val="22"/>
              </w:rPr>
              <w:t>備考</w:t>
            </w:r>
          </w:p>
        </w:tc>
        <w:tc>
          <w:tcPr>
            <w:tcW w:w="8115" w:type="dxa"/>
            <w:gridSpan w:val="3"/>
            <w:tcBorders>
              <w:right w:val="single" w:sz="4" w:space="0" w:color="auto"/>
            </w:tcBorders>
          </w:tcPr>
          <w:p w:rsidR="0091654C" w:rsidRDefault="00183E24" w:rsidP="0091654C">
            <w:pPr>
              <w:widowControl/>
              <w:jc w:val="left"/>
              <w:rPr>
                <w:sz w:val="22"/>
              </w:rPr>
            </w:pPr>
            <w:r>
              <w:rPr>
                <w:noProof/>
                <w:sz w:val="22"/>
              </w:rPr>
              <w:pict>
                <v:oval id="_x0000_s2050" style="position:absolute;margin-left:132.3pt;margin-top:16pt;width:25.5pt;height:22.5pt;z-index:251658240;mso-position-horizontal-relative:text;mso-position-vertical-relative:text">
                  <v:fill opacity="0"/>
                  <v:textbox inset="5.85pt,.7pt,5.85pt,.7pt"/>
                </v:oval>
              </w:pict>
            </w:r>
          </w:p>
          <w:p w:rsidR="0091654C" w:rsidRDefault="005425E4" w:rsidP="0091654C">
            <w:pPr>
              <w:widowControl/>
              <w:jc w:val="left"/>
              <w:rPr>
                <w:sz w:val="22"/>
              </w:rPr>
            </w:pPr>
            <w:r>
              <w:rPr>
                <w:rFonts w:hint="eastAsia"/>
                <w:sz w:val="22"/>
              </w:rPr>
              <w:t xml:space="preserve">一般用　　　　</w:t>
            </w:r>
            <w:r w:rsidR="0091654C">
              <w:rPr>
                <w:rFonts w:hint="eastAsia"/>
                <w:sz w:val="22"/>
              </w:rPr>
              <w:t xml:space="preserve">　　注意書</w:t>
            </w:r>
            <w:r w:rsidR="0091654C">
              <w:rPr>
                <w:rFonts w:hint="eastAsia"/>
                <w:sz w:val="22"/>
              </w:rPr>
              <w:t>No.</w:t>
            </w:r>
            <w:r w:rsidR="0091654C">
              <w:rPr>
                <w:rFonts w:hint="eastAsia"/>
                <w:sz w:val="22"/>
              </w:rPr>
              <w:t xml:space="preserve">　　使用期限記載（法</w:t>
            </w:r>
            <w:r w:rsidR="0091654C">
              <w:rPr>
                <w:rFonts w:hint="eastAsia"/>
                <w:sz w:val="22"/>
              </w:rPr>
              <w:t>50</w:t>
            </w:r>
            <w:r w:rsidR="0091654C">
              <w:rPr>
                <w:rFonts w:hint="eastAsia"/>
                <w:sz w:val="22"/>
              </w:rPr>
              <w:t>条関連のみ）</w:t>
            </w:r>
          </w:p>
          <w:p w:rsidR="0091654C" w:rsidRDefault="0091654C" w:rsidP="0091654C">
            <w:pPr>
              <w:widowControl/>
              <w:jc w:val="left"/>
              <w:rPr>
                <w:sz w:val="22"/>
              </w:rPr>
            </w:pPr>
          </w:p>
          <w:p w:rsidR="0091654C" w:rsidRPr="0091654C" w:rsidRDefault="0091654C" w:rsidP="0091654C">
            <w:pPr>
              <w:widowControl/>
              <w:jc w:val="left"/>
              <w:rPr>
                <w:sz w:val="22"/>
              </w:rPr>
            </w:pPr>
            <w:r>
              <w:rPr>
                <w:rFonts w:hint="eastAsia"/>
                <w:sz w:val="22"/>
              </w:rPr>
              <w:t>品目番号（△△―□□）　　「品名」の代替品</w:t>
            </w:r>
          </w:p>
        </w:tc>
      </w:tr>
    </w:tbl>
    <w:p w:rsidR="0091654C" w:rsidRDefault="0091654C" w:rsidP="0091654C">
      <w:pPr>
        <w:widowControl/>
        <w:ind w:left="110" w:hangingChars="50" w:hanging="110"/>
        <w:jc w:val="left"/>
        <w:rPr>
          <w:sz w:val="22"/>
        </w:rPr>
      </w:pPr>
    </w:p>
    <w:p w:rsidR="0091654C" w:rsidRPr="0091654C" w:rsidRDefault="0091654C" w:rsidP="0091654C">
      <w:pPr>
        <w:widowControl/>
        <w:ind w:left="110" w:hangingChars="50" w:hanging="110"/>
        <w:jc w:val="center"/>
        <w:rPr>
          <w:sz w:val="22"/>
        </w:rPr>
      </w:pPr>
      <w:r>
        <w:rPr>
          <w:rFonts w:hint="eastAsia"/>
          <w:sz w:val="22"/>
        </w:rPr>
        <w:t>―　追加　平成◇◇年―</w:t>
      </w:r>
    </w:p>
    <w:sectPr w:rsidR="0091654C" w:rsidRPr="0091654C" w:rsidSect="00D93049">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7DC" w:rsidRDefault="00C327DC" w:rsidP="00D93049">
      <w:r>
        <w:separator/>
      </w:r>
    </w:p>
  </w:endnote>
  <w:endnote w:type="continuationSeparator" w:id="0">
    <w:p w:rsidR="00C327DC" w:rsidRDefault="00C327DC" w:rsidP="00D9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7DC" w:rsidRDefault="00C327DC" w:rsidP="00D93049">
      <w:r>
        <w:separator/>
      </w:r>
    </w:p>
  </w:footnote>
  <w:footnote w:type="continuationSeparator" w:id="0">
    <w:p w:rsidR="00C327DC" w:rsidRDefault="00C327DC" w:rsidP="00D93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7DC" w:rsidRPr="0091654C" w:rsidRDefault="00C327DC" w:rsidP="00D93049">
    <w:pPr>
      <w:pStyle w:val="a3"/>
      <w:jc w:val="right"/>
      <w:rPr>
        <w:sz w:val="22"/>
      </w:rPr>
    </w:pPr>
  </w:p>
  <w:p w:rsidR="00C327DC" w:rsidRPr="0091654C" w:rsidRDefault="00C327DC" w:rsidP="00D93049">
    <w:pPr>
      <w:pStyle w:val="a3"/>
      <w:jc w:val="right"/>
      <w:rPr>
        <w:sz w:val="22"/>
      </w:rPr>
    </w:pPr>
    <w:r w:rsidRPr="0091654C">
      <w:rPr>
        <w:rFonts w:hint="eastAsia"/>
        <w:sz w:val="22"/>
        <w:bdr w:val="single" w:sz="4" w:space="0" w:color="auto"/>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3049"/>
    <w:rsid w:val="000610B2"/>
    <w:rsid w:val="000F735F"/>
    <w:rsid w:val="00106DCC"/>
    <w:rsid w:val="00183E24"/>
    <w:rsid w:val="002039BE"/>
    <w:rsid w:val="002B4ADD"/>
    <w:rsid w:val="002B575E"/>
    <w:rsid w:val="00416D0B"/>
    <w:rsid w:val="004648CC"/>
    <w:rsid w:val="004D4538"/>
    <w:rsid w:val="005425E4"/>
    <w:rsid w:val="005F6610"/>
    <w:rsid w:val="006E524E"/>
    <w:rsid w:val="007D22C0"/>
    <w:rsid w:val="0084139C"/>
    <w:rsid w:val="008D65E4"/>
    <w:rsid w:val="0090307F"/>
    <w:rsid w:val="0091654C"/>
    <w:rsid w:val="00A4741B"/>
    <w:rsid w:val="00AE7FB1"/>
    <w:rsid w:val="00C327DC"/>
    <w:rsid w:val="00D93049"/>
    <w:rsid w:val="00F35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rules v:ext="edit">
        <o:r id="V:Rule3" type="connector" idref="#_x0000_s2053"/>
        <o:r id="V:Rule4" type="connector" idref="#_x0000_s2054"/>
      </o:rules>
    </o:shapelayout>
  </w:shapeDefaults>
  <w:decimalSymbol w:val="."/>
  <w:listSeparator w:val=","/>
  <w15:docId w15:val="{F71CDF07-EDB0-4D9B-92A8-B90148A1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3049"/>
    <w:pPr>
      <w:tabs>
        <w:tab w:val="center" w:pos="4252"/>
        <w:tab w:val="right" w:pos="8504"/>
      </w:tabs>
      <w:snapToGrid w:val="0"/>
    </w:pPr>
  </w:style>
  <w:style w:type="character" w:customStyle="1" w:styleId="a4">
    <w:name w:val="ヘッダー (文字)"/>
    <w:basedOn w:val="a0"/>
    <w:link w:val="a3"/>
    <w:uiPriority w:val="99"/>
    <w:semiHidden/>
    <w:rsid w:val="00D93049"/>
  </w:style>
  <w:style w:type="paragraph" w:styleId="a5">
    <w:name w:val="footer"/>
    <w:basedOn w:val="a"/>
    <w:link w:val="a6"/>
    <w:uiPriority w:val="99"/>
    <w:semiHidden/>
    <w:unhideWhenUsed/>
    <w:rsid w:val="00D93049"/>
    <w:pPr>
      <w:tabs>
        <w:tab w:val="center" w:pos="4252"/>
        <w:tab w:val="right" w:pos="8504"/>
      </w:tabs>
      <w:snapToGrid w:val="0"/>
    </w:pPr>
  </w:style>
  <w:style w:type="character" w:customStyle="1" w:styleId="a6">
    <w:name w:val="フッター (文字)"/>
    <w:basedOn w:val="a0"/>
    <w:link w:val="a5"/>
    <w:uiPriority w:val="99"/>
    <w:semiHidden/>
    <w:rsid w:val="00D93049"/>
  </w:style>
  <w:style w:type="paragraph" w:styleId="a7">
    <w:name w:val="Note Heading"/>
    <w:basedOn w:val="a"/>
    <w:next w:val="a"/>
    <w:link w:val="a8"/>
    <w:rsid w:val="00D93049"/>
    <w:pPr>
      <w:jc w:val="center"/>
    </w:pPr>
    <w:rPr>
      <w:rFonts w:ascii="Century" w:eastAsia="ＭＳ 明朝" w:hAnsi="Century" w:cs="Times New Roman"/>
      <w:sz w:val="24"/>
      <w:szCs w:val="24"/>
    </w:rPr>
  </w:style>
  <w:style w:type="character" w:customStyle="1" w:styleId="a8">
    <w:name w:val="記 (文字)"/>
    <w:basedOn w:val="a0"/>
    <w:link w:val="a7"/>
    <w:rsid w:val="00D93049"/>
    <w:rPr>
      <w:rFonts w:ascii="Century" w:eastAsia="ＭＳ 明朝" w:hAnsi="Century" w:cs="Times New Roman"/>
      <w:sz w:val="24"/>
      <w:szCs w:val="24"/>
    </w:rPr>
  </w:style>
  <w:style w:type="paragraph" w:styleId="a9">
    <w:name w:val="Closing"/>
    <w:basedOn w:val="a"/>
    <w:link w:val="aa"/>
    <w:rsid w:val="00D93049"/>
    <w:pPr>
      <w:jc w:val="right"/>
    </w:pPr>
    <w:rPr>
      <w:rFonts w:ascii="Century" w:eastAsia="ＭＳ 明朝" w:hAnsi="Century" w:cs="Times New Roman"/>
      <w:sz w:val="24"/>
      <w:szCs w:val="24"/>
    </w:rPr>
  </w:style>
  <w:style w:type="character" w:customStyle="1" w:styleId="aa">
    <w:name w:val="結語 (文字)"/>
    <w:basedOn w:val="a0"/>
    <w:link w:val="a9"/>
    <w:rsid w:val="00D9304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振興開発班</dc:creator>
  <cp:lastModifiedBy>藤岡　俊太郎</cp:lastModifiedBy>
  <cp:revision>2</cp:revision>
  <cp:lastPrinted>2013-11-20T00:37:00Z</cp:lastPrinted>
  <dcterms:created xsi:type="dcterms:W3CDTF">2021-01-29T01:21:00Z</dcterms:created>
  <dcterms:modified xsi:type="dcterms:W3CDTF">2021-01-29T01:21:00Z</dcterms:modified>
</cp:coreProperties>
</file>